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59" w:lineRule="auto"/>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Framework Schedule 1 (Specification)</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pos="709"/>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Schedule 1 </w:t>
      </w:r>
      <w:r w:rsidDel="00000000" w:rsidR="00000000" w:rsidRPr="00000000">
        <w:rPr>
          <w:rFonts w:ascii="Arial" w:cs="Arial" w:eastAsia="Arial" w:hAnsi="Arial"/>
          <w:color w:val="000000"/>
          <w:sz w:val="24"/>
          <w:szCs w:val="24"/>
          <w:highlight w:val="yellow"/>
          <w:rtl w:val="0"/>
        </w:rPr>
        <w:t xml:space="preserve">and associated </w:t>
      </w:r>
      <w:r w:rsidDel="00000000" w:rsidR="00000000" w:rsidRPr="00000000">
        <w:rPr>
          <w:rFonts w:ascii="Arial" w:cs="Arial" w:eastAsia="Arial" w:hAnsi="Arial"/>
          <w:sz w:val="24"/>
          <w:szCs w:val="24"/>
          <w:highlight w:val="yellow"/>
          <w:rtl w:val="0"/>
        </w:rPr>
        <w:t xml:space="preserve">Annexes (A-D)</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sets out what we and our buyers want.</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pos="709"/>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must only provide the Deliverables for the Lot that they have been appointed to. </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pos="709"/>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all Lots and/or Deliverables, the Supplier must help Buyers comply with any specific applicable Standards of the Buyer.</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pos="709"/>
          <w:tab w:val="left" w:pos="284"/>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and any Standards set out in Paragraph 1 below may be refined (to the extent permitted and set out in the Order Form) by a Buyer during a Further Competition Procedure to reflect its Deliverables Requirements for entering a particular Call-Off Contract.</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1134"/>
        </w:tabs>
        <w:spacing w:after="120" w:before="120" w:line="240" w:lineRule="auto"/>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007">
      <w:pPr>
        <w:pStyle w:val="Heading2"/>
        <w:rPr>
          <w:rFonts w:ascii="Arial" w:cs="Arial" w:eastAsia="Arial" w:hAnsi="Arial"/>
          <w:color w:val="222222"/>
          <w:sz w:val="24"/>
          <w:szCs w:val="24"/>
        </w:rPr>
      </w:pPr>
      <w:bookmarkStart w:colFirst="0" w:colLast="0" w:name="_heading=h.30j0zll" w:id="1"/>
      <w:bookmarkEnd w:id="1"/>
      <w:r w:rsidDel="00000000" w:rsidR="00000000" w:rsidRPr="00000000">
        <w:rPr>
          <w:rFonts w:ascii="Arial" w:cs="Arial" w:eastAsia="Arial" w:hAnsi="Arial"/>
          <w:color w:val="000000"/>
          <w:sz w:val="32"/>
          <w:szCs w:val="32"/>
          <w:rtl w:val="0"/>
        </w:rPr>
        <w:t xml:space="preserve">Our social value priorities</w:t>
      </w:r>
      <w:r w:rsidDel="00000000" w:rsidR="00000000" w:rsidRPr="00000000">
        <w:rPr>
          <w:rtl w:val="0"/>
        </w:rPr>
      </w:r>
    </w:p>
    <w:p w:rsidR="00000000" w:rsidDel="00000000" w:rsidP="00000000" w:rsidRDefault="00000000" w:rsidRPr="00000000" w14:paraId="00000008">
      <w:pPr>
        <w:shd w:fill="ffffff" w:val="clear"/>
        <w:rPr>
          <w:rFonts w:ascii="Arial" w:cs="Arial" w:eastAsia="Arial" w:hAnsi="Arial"/>
          <w:color w:val="222222"/>
          <w:sz w:val="24"/>
          <w:szCs w:val="24"/>
        </w:rPr>
      </w:pPr>
      <w:r w:rsidDel="00000000" w:rsidR="00000000" w:rsidRPr="00000000">
        <w:rPr>
          <w:rFonts w:ascii="Arial" w:cs="Arial" w:eastAsia="Arial" w:hAnsi="Arial"/>
          <w:color w:val="222222"/>
          <w:sz w:val="24"/>
          <w:szCs w:val="24"/>
          <w:highlight w:val="yellow"/>
          <w:rtl w:val="0"/>
        </w:rPr>
        <w:t xml:space="preserve">These are our priorities in this procurement:</w:t>
      </w:r>
      <w:r w:rsidDel="00000000" w:rsidR="00000000" w:rsidRPr="00000000">
        <w:rPr>
          <w:rtl w:val="0"/>
        </w:rPr>
      </w:r>
    </w:p>
    <w:p w:rsidR="00000000" w:rsidDel="00000000" w:rsidP="00000000" w:rsidRDefault="00000000" w:rsidRPr="00000000" w14:paraId="00000009">
      <w:pPr>
        <w:shd w:fill="ffffff" w:val="clear"/>
        <w:spacing w:after="16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shd w:fill="ffffff" w:val="clear"/>
        <w:spacing w:after="160" w:line="240" w:lineRule="auto"/>
        <w:ind w:left="720" w:hanging="360"/>
        <w:rPr>
          <w:rFonts w:ascii="Arial" w:cs="Arial" w:eastAsia="Arial" w:hAnsi="Arial"/>
          <w:b w:val="1"/>
          <w:color w:val="222222"/>
          <w:sz w:val="24"/>
          <w:szCs w:val="24"/>
        </w:rPr>
      </w:pPr>
      <w:r w:rsidDel="00000000" w:rsidR="00000000" w:rsidRPr="00000000">
        <w:rPr>
          <w:rFonts w:ascii="Arial" w:cs="Arial" w:eastAsia="Arial" w:hAnsi="Arial"/>
          <w:b w:val="1"/>
          <w:color w:val="222222"/>
          <w:sz w:val="24"/>
          <w:szCs w:val="24"/>
          <w:rtl w:val="0"/>
        </w:rPr>
        <w:t xml:space="preserve">Theme 1: COVID-19 Recovery</w:t>
      </w:r>
    </w:p>
    <w:p w:rsidR="00000000" w:rsidDel="00000000" w:rsidP="00000000" w:rsidRDefault="00000000" w:rsidRPr="00000000" w14:paraId="0000000B">
      <w:pPr>
        <w:shd w:fill="ffffff" w:val="clear"/>
        <w:spacing w:after="160" w:line="240" w:lineRule="auto"/>
        <w:rPr>
          <w:rFonts w:ascii="Arial" w:cs="Arial" w:eastAsia="Arial" w:hAnsi="Arial"/>
          <w:color w:val="222222"/>
          <w:sz w:val="24"/>
          <w:szCs w:val="24"/>
        </w:rPr>
      </w:pPr>
      <w:r w:rsidDel="00000000" w:rsidR="00000000" w:rsidRPr="00000000">
        <w:rPr>
          <w:rFonts w:ascii="Arial" w:cs="Arial" w:eastAsia="Arial" w:hAnsi="Arial"/>
          <w:b w:val="1"/>
          <w:color w:val="222222"/>
          <w:sz w:val="24"/>
          <w:szCs w:val="24"/>
          <w:rtl w:val="0"/>
        </w:rPr>
        <w:t xml:space="preserve">Policy Outcome:</w:t>
      </w:r>
      <w:r w:rsidDel="00000000" w:rsidR="00000000" w:rsidRPr="00000000">
        <w:rPr>
          <w:rFonts w:ascii="Arial" w:cs="Arial" w:eastAsia="Arial" w:hAnsi="Arial"/>
          <w:color w:val="222222"/>
          <w:sz w:val="24"/>
          <w:szCs w:val="24"/>
          <w:rtl w:val="0"/>
        </w:rPr>
        <w:t xml:space="preserve"> Help local communities to manage and recover from the impact of COVID-19</w:t>
      </w:r>
    </w:p>
    <w:p w:rsidR="00000000" w:rsidDel="00000000" w:rsidP="00000000" w:rsidRDefault="00000000" w:rsidRPr="00000000" w14:paraId="0000000C">
      <w:pPr>
        <w:spacing w:after="280" w:before="28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The COVID-19 pandemic has exacerbated existing economic and social challenges, and created many new ones.  CCS wants to ensure Suppliers can aid the recovery of local communities and economies, especially through employment, re-training and return to work opportunities, community support, developing new ways of working and supporting the health of those affected by the virus. We require Supplier to support and deliver of this through activities such as: </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shd w:fill="ffffff" w:val="clear"/>
        <w:spacing w:line="240" w:lineRule="auto"/>
        <w:ind w:left="72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Support for organisations and businesses to manage and recover from the impacts of COVID-19, including where new ways of working are needed to deliver services:</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Through advertising of supply chain opportunities openly and to ensure they are accessible to new and growing businesses, including advertising sub-contracting opportunities on Contracts Finder.</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Structuring of the supply chain selection process in a way that ensures fairness (e.g. anti-corruption) and encourages participation by new and growing businesses. </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ffffff" w:val="clear"/>
        <w:spacing w:line="240" w:lineRule="auto"/>
        <w:ind w:left="72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Improvement to workplace conditions that support COVID-19 recovery effort including effective social distancing, remote working, and sustainable travel solutions. </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Through understanding of the need for improvements to workplace conditions that support the COVID-19 recovery effort including effective social distancing, remote working, and sustainable travel solutions. </w:t>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Via engagement plans to engage the contract workforce in deciding the most important workplace conditions to address. </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Using methods to measure staff workforce conditions over time and adapt to any changes in the results, with clear processes for acting on issues identified. </w:t>
      </w:r>
    </w:p>
    <w:p w:rsidR="00000000" w:rsidDel="00000000" w:rsidP="00000000" w:rsidRDefault="00000000" w:rsidRPr="00000000" w14:paraId="00000014">
      <w:pPr>
        <w:shd w:fill="ffffff" w:val="clear"/>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ffffff" w:val="clear"/>
        <w:spacing w:after="160" w:line="240" w:lineRule="auto"/>
        <w:ind w:left="720" w:hanging="360"/>
        <w:rPr>
          <w:rFonts w:ascii="Arial" w:cs="Arial" w:eastAsia="Arial" w:hAnsi="Arial"/>
          <w:b w:val="1"/>
          <w:color w:val="222222"/>
          <w:sz w:val="24"/>
          <w:szCs w:val="24"/>
        </w:rPr>
      </w:pPr>
      <w:r w:rsidDel="00000000" w:rsidR="00000000" w:rsidRPr="00000000">
        <w:rPr>
          <w:rFonts w:ascii="Arial" w:cs="Arial" w:eastAsia="Arial" w:hAnsi="Arial"/>
          <w:b w:val="1"/>
          <w:color w:val="222222"/>
          <w:sz w:val="24"/>
          <w:szCs w:val="24"/>
          <w:rtl w:val="0"/>
        </w:rPr>
        <w:t xml:space="preserve">Theme 3: Fighting Climate Change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rPr>
          <w:rFonts w:ascii="Arial" w:cs="Arial" w:eastAsia="Arial" w:hAnsi="Arial"/>
          <w:color w:val="222222"/>
          <w:sz w:val="24"/>
          <w:szCs w:val="24"/>
        </w:rPr>
      </w:pPr>
      <w:r w:rsidDel="00000000" w:rsidR="00000000" w:rsidRPr="00000000">
        <w:rPr>
          <w:rFonts w:ascii="Arial" w:cs="Arial" w:eastAsia="Arial" w:hAnsi="Arial"/>
          <w:b w:val="1"/>
          <w:color w:val="222222"/>
          <w:sz w:val="24"/>
          <w:szCs w:val="24"/>
          <w:rtl w:val="0"/>
        </w:rPr>
        <w:t xml:space="preserve">Policy Outcome:</w:t>
      </w:r>
      <w:r w:rsidDel="00000000" w:rsidR="00000000" w:rsidRPr="00000000">
        <w:rPr>
          <w:rFonts w:ascii="Arial" w:cs="Arial" w:eastAsia="Arial" w:hAnsi="Arial"/>
          <w:color w:val="222222"/>
          <w:sz w:val="24"/>
          <w:szCs w:val="24"/>
          <w:rtl w:val="0"/>
        </w:rPr>
        <w:t xml:space="preserve"> Effective stewardship of the environment</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CCS wants to ensure Suppliers with whom we do business take effective stewardship of the environment, which delivers environmental benefits in the performance of the contract that support environmental protection and improvements as stated within the key six areas of the Government’s 25 Year Environment Plan.</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line="240" w:lineRule="auto"/>
        <w:ind w:left="72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As set out in; </w:t>
      </w:r>
      <w:hyperlink r:id="rId7">
        <w:r w:rsidDel="00000000" w:rsidR="00000000" w:rsidRPr="00000000">
          <w:rPr>
            <w:rFonts w:ascii="Arial" w:cs="Arial" w:eastAsia="Arial" w:hAnsi="Arial"/>
            <w:color w:val="0000ff"/>
            <w:sz w:val="24"/>
            <w:szCs w:val="24"/>
            <w:u w:val="single"/>
            <w:rtl w:val="0"/>
          </w:rPr>
          <w:t xml:space="preserve">https://assets.publishing.service.gov.uk/government/uploads/system/uploads/attachment_data/file/693158/25-year-environment-plan.pdf</w:t>
        </w:r>
      </w:hyperlink>
      <w:r w:rsidDel="00000000" w:rsidR="00000000" w:rsidRPr="00000000">
        <w:rPr>
          <w:rtl w:val="0"/>
        </w:rPr>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Using and managing land sustainably</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Recovering nature and enhancing the beauty of landscapes</w:t>
      </w:r>
    </w:p>
    <w:p w:rsidR="00000000" w:rsidDel="00000000" w:rsidP="00000000" w:rsidRDefault="00000000" w:rsidRPr="00000000" w14:paraId="0000001B">
      <w:pPr>
        <w:numPr>
          <w:ilvl w:val="1"/>
          <w:numId w:val="1"/>
        </w:numPr>
        <w:pBdr>
          <w:top w:space="0" w:sz="0" w:val="nil"/>
          <w:left w:space="0" w:sz="0" w:val="nil"/>
          <w:bottom w:space="0" w:sz="0" w:val="nil"/>
          <w:right w:space="0" w:sz="0" w:val="nil"/>
          <w:between w:space="0" w:sz="0" w:val="nil"/>
        </w:pBd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Connecting people with the environment to improve health and wellbeing</w:t>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Increasing resource efficiency and reducing pollution and waste</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Securing clean, healthy, productive and biologically diverse seas and oceans</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Protecting and improving our global environment</w:t>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hd w:fill="ffffff" w:val="clear"/>
        <w:spacing w:line="240" w:lineRule="auto"/>
        <w:ind w:left="72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Suppliers are required to influence staff, suppliers, customers and communities through the delivery of the contract to support environmental protection and improvement: </w:t>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By demonstrating an understanding of how to influence staff, suppliers, customers, communities and/or any other appropriate stakeholders through the delivery of the contract to support environmental protection and improvement. </w:t>
      </w:r>
    </w:p>
    <w:p w:rsidR="00000000" w:rsidDel="00000000" w:rsidP="00000000" w:rsidRDefault="00000000" w:rsidRPr="00000000" w14:paraId="00000021">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Through training and education. Influencing behaviour to reduce waste and use resources more efficiently in the performance of the contract.</w:t>
      </w:r>
    </w:p>
    <w:p w:rsidR="00000000" w:rsidDel="00000000" w:rsidP="00000000" w:rsidRDefault="00000000" w:rsidRPr="00000000" w14:paraId="00000022">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Work with Buyers to support the Government’s Agenda to meet the Greening Government Commitments (GGC) to deliver additional environmental benefits. </w:t>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shd w:fill="ffffff" w:val="clear"/>
        <w:spacing w:after="160" w:line="240" w:lineRule="auto"/>
        <w:ind w:left="720" w:hanging="360"/>
        <w:rPr>
          <w:rFonts w:ascii="Arial" w:cs="Arial" w:eastAsia="Arial" w:hAnsi="Arial"/>
          <w:b w:val="1"/>
          <w:color w:val="222222"/>
          <w:sz w:val="24"/>
          <w:szCs w:val="24"/>
        </w:rPr>
      </w:pPr>
      <w:r w:rsidDel="00000000" w:rsidR="00000000" w:rsidRPr="00000000">
        <w:rPr>
          <w:rFonts w:ascii="Arial" w:cs="Arial" w:eastAsia="Arial" w:hAnsi="Arial"/>
          <w:b w:val="1"/>
          <w:color w:val="222222"/>
          <w:sz w:val="24"/>
          <w:szCs w:val="24"/>
          <w:rtl w:val="0"/>
        </w:rPr>
        <w:t xml:space="preserve">Theme 4: Equal opportunity</w:t>
      </w:r>
    </w:p>
    <w:p w:rsidR="00000000" w:rsidDel="00000000" w:rsidP="00000000" w:rsidRDefault="00000000" w:rsidRPr="00000000" w14:paraId="00000024">
      <w:pPr>
        <w:shd w:fill="ffffff" w:val="clear"/>
        <w:spacing w:after="160" w:line="240" w:lineRule="auto"/>
        <w:rPr>
          <w:rFonts w:ascii="Arial" w:cs="Arial" w:eastAsia="Arial" w:hAnsi="Arial"/>
          <w:color w:val="222222"/>
          <w:sz w:val="24"/>
          <w:szCs w:val="24"/>
        </w:rPr>
      </w:pPr>
      <w:r w:rsidDel="00000000" w:rsidR="00000000" w:rsidRPr="00000000">
        <w:rPr>
          <w:rFonts w:ascii="Arial" w:cs="Arial" w:eastAsia="Arial" w:hAnsi="Arial"/>
          <w:b w:val="1"/>
          <w:sz w:val="24"/>
          <w:szCs w:val="24"/>
          <w:rtl w:val="0"/>
        </w:rPr>
        <w:t xml:space="preserve">Policy Outcome:</w:t>
      </w:r>
      <w:r w:rsidDel="00000000" w:rsidR="00000000" w:rsidRPr="00000000">
        <w:rPr>
          <w:rFonts w:ascii="Arial" w:cs="Arial" w:eastAsia="Arial" w:hAnsi="Arial"/>
          <w:sz w:val="24"/>
          <w:szCs w:val="24"/>
          <w:rtl w:val="0"/>
        </w:rPr>
        <w:t xml:space="preserve"> Tackle workforce inequality </w:t>
      </w:r>
      <w:r w:rsidDel="00000000" w:rsidR="00000000" w:rsidRPr="00000000">
        <w:rPr>
          <w:rtl w:val="0"/>
        </w:rPr>
      </w:r>
    </w:p>
    <w:p w:rsidR="00000000" w:rsidDel="00000000" w:rsidP="00000000" w:rsidRDefault="00000000" w:rsidRPr="00000000" w14:paraId="00000025">
      <w:pPr>
        <w:spacing w:after="280" w:before="280" w:line="240" w:lineRule="auto"/>
        <w:rPr>
          <w:rFonts w:ascii="Arial" w:cs="Arial" w:eastAsia="Arial" w:hAnsi="Arial"/>
          <w:color w:val="222222"/>
          <w:sz w:val="24"/>
          <w:szCs w:val="24"/>
        </w:rPr>
      </w:pPr>
      <w:r w:rsidDel="00000000" w:rsidR="00000000" w:rsidRPr="00000000">
        <w:rPr>
          <w:rFonts w:ascii="Arial" w:cs="Arial" w:eastAsia="Arial" w:hAnsi="Arial"/>
          <w:sz w:val="24"/>
          <w:szCs w:val="24"/>
          <w:rtl w:val="0"/>
        </w:rPr>
        <w:t xml:space="preserve">CCS is committed to tackling inequality and giving everyone the opportunity to fulfil their potential. The </w:t>
      </w:r>
      <w:r w:rsidDel="00000000" w:rsidR="00000000" w:rsidRPr="00000000">
        <w:rPr>
          <w:rFonts w:ascii="Arial" w:cs="Arial" w:eastAsia="Arial" w:hAnsi="Arial"/>
          <w:rtl w:val="0"/>
        </w:rPr>
        <w:t xml:space="preserve">Government’s </w:t>
      </w:r>
      <w:r w:rsidDel="00000000" w:rsidR="00000000" w:rsidRPr="00000000">
        <w:rPr>
          <w:rFonts w:ascii="Arial" w:cs="Arial" w:eastAsia="Arial" w:hAnsi="Arial"/>
          <w:sz w:val="24"/>
          <w:szCs w:val="24"/>
          <w:rtl w:val="0"/>
        </w:rPr>
        <w:t xml:space="preserve">Good Work Plan affirms government’s ambition that all work should be fair and decent, and that everyone, regardless of where they live in the UK or which sector they work in, should be able to benefit from high quality jobs.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222222"/>
          <w:sz w:val="24"/>
          <w:szCs w:val="24"/>
          <w:rtl w:val="0"/>
        </w:rPr>
        <w:t xml:space="preserve">We require Supplier to support and deliver this through activities such as: </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hd w:fill="ffffff" w:val="clear"/>
        <w:spacing w:line="240" w:lineRule="auto"/>
        <w:ind w:left="72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Suppliers are required to demonstrate action to identify and manage the risks of modern slavery in the delivery of the contract, including in the supply chain. </w:t>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shd w:fill="ffffff" w:val="clear"/>
        <w:spacing w:line="240" w:lineRule="auto"/>
        <w:ind w:left="1440"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Through understanding of the modern slavery risks and issues affecting the market, industry, sector or country (of origin or of source) relevant to the contract, and the workforce in the tenderer’s own organisation and those of its key sub-contractors. </w:t>
      </w:r>
    </w:p>
    <w:p w:rsidR="00000000" w:rsidDel="00000000" w:rsidP="00000000" w:rsidRDefault="00000000" w:rsidRPr="00000000" w14:paraId="00000028">
      <w:pPr>
        <w:shd w:fill="ffffff" w:val="clear"/>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The buyer can identify specific social value priorities at call-off.  </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pos="1134"/>
        </w:tabs>
        <w:spacing w:after="120" w:before="120" w:line="240" w:lineRule="auto"/>
        <w:rPr>
          <w:rFonts w:ascii="Arial" w:cs="Arial" w:eastAsia="Arial" w:hAnsi="Arial"/>
          <w:color w:val="000000"/>
          <w:sz w:val="24"/>
          <w:szCs w:val="24"/>
        </w:rPr>
        <w:sectPr>
          <w:headerReference r:id="rId8" w:type="default"/>
          <w:footerReference r:id="rId9" w:type="default"/>
          <w:pgSz w:h="16838" w:w="11906" w:orient="portrait"/>
          <w:pgMar w:bottom="1440" w:top="1440" w:left="1440" w:right="1440" w:header="708" w:footer="708"/>
          <w:pgNumType w:start="1"/>
        </w:sectPr>
      </w:pPr>
      <w:bookmarkStart w:colFirst="0" w:colLast="0" w:name="_heading=h.1fob9te" w:id="2"/>
      <w:bookmarkEnd w:id="2"/>
      <w:r w:rsidDel="00000000" w:rsidR="00000000" w:rsidRPr="00000000">
        <w:rPr>
          <w:rFonts w:ascii="Arial" w:cs="Arial" w:eastAsia="Arial" w:hAnsi="Arial"/>
          <w:color w:val="000000"/>
          <w:sz w:val="24"/>
          <w:szCs w:val="24"/>
          <w:highlight w:val="yellow"/>
          <w:rtl w:val="0"/>
        </w:rPr>
        <w:t xml:space="preserve"> [</w:t>
      </w:r>
      <w:r w:rsidDel="00000000" w:rsidR="00000000" w:rsidRPr="00000000">
        <w:rPr>
          <w:rFonts w:ascii="Arial" w:cs="Arial" w:eastAsia="Arial" w:hAnsi="Arial"/>
          <w:b w:val="1"/>
          <w:color w:val="000000"/>
          <w:sz w:val="24"/>
          <w:szCs w:val="24"/>
          <w:highlight w:val="yellow"/>
          <w:rtl w:val="0"/>
        </w:rPr>
        <w:t xml:space="preserve">Insert </w:t>
      </w:r>
      <w:r w:rsidDel="00000000" w:rsidR="00000000" w:rsidRPr="00000000">
        <w:rPr>
          <w:rFonts w:ascii="Arial" w:cs="Arial" w:eastAsia="Arial" w:hAnsi="Arial"/>
          <w:color w:val="000000"/>
          <w:sz w:val="24"/>
          <w:szCs w:val="24"/>
          <w:rtl w:val="0"/>
        </w:rPr>
        <w:t xml:space="preserve">the Specification]</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pos="1134"/>
        </w:tabs>
        <w:spacing w:after="120" w:before="120" w:line="240" w:lineRule="auto"/>
        <w:jc w:val="both"/>
        <w:rPr>
          <w:color w:val="000000"/>
          <w:highlight w:val="yellow"/>
        </w:rPr>
      </w:pPr>
      <w:r w:rsidDel="00000000" w:rsidR="00000000" w:rsidRPr="00000000">
        <w:rPr>
          <w:rtl w:val="0"/>
        </w:rPr>
      </w:r>
    </w:p>
    <w:sectPr>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tabs>
        <w:tab w:val="center" w:pos="4513"/>
        <w:tab w:val="right" w:pos="9026"/>
      </w:tabs>
      <w:spacing w:after="0" w:lineRule="auto"/>
      <w:jc w:val="both"/>
      <w:rPr>
        <w:color w:val="bfbfbf"/>
      </w:rPr>
    </w:pPr>
    <w:r w:rsidDel="00000000" w:rsidR="00000000" w:rsidRPr="00000000">
      <w:rPr>
        <w:rtl w:val="0"/>
      </w:rPr>
    </w:r>
  </w:p>
  <w:p w:rsidR="00000000" w:rsidDel="00000000" w:rsidP="00000000" w:rsidRDefault="00000000" w:rsidRPr="00000000" w14:paraId="0000002E">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spacing w:after="0" w:line="240" w:lineRule="auto"/>
      <w:jc w:val="both"/>
      <w:rPr/>
    </w:pPr>
    <w:r w:rsidDel="00000000" w:rsidR="00000000" w:rsidRPr="00000000">
      <w:rPr>
        <w:rFonts w:ascii="Arial" w:cs="Arial" w:eastAsia="Arial" w:hAnsi="Arial"/>
        <w:sz w:val="20"/>
        <w:szCs w:val="20"/>
        <w:rtl w:val="0"/>
      </w:rPr>
      <w:t xml:space="preserve">Model Version: v3.2</w:t>
    </w:r>
    <w:r w:rsidDel="00000000" w:rsidR="00000000" w:rsidRPr="00000000">
      <w:rPr>
        <w:rtl w:val="0"/>
      </w:rPr>
      <w:tab/>
      <w:tab/>
      <w:tab/>
      <w:tab/>
    </w:r>
    <w:bookmarkStart w:colFirst="0" w:colLast="0" w:name="bookmark=id.1fob9te" w:id="3"/>
    <w:bookmarkEnd w:id="3"/>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Framework Schedule 1 (Specification)</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b w:val="1"/>
        <w:color w:val="bfbfbf"/>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tabs>
        <w:tab w:val="left" w:pos="-5585"/>
      </w:tabs>
      <w:spacing w:after="120" w:line="240" w:lineRule="auto"/>
      <w:ind w:left="3600" w:hanging="360"/>
      <w:jc w:val="both"/>
    </w:pPr>
    <w:rPr>
      <w:rFonts w:ascii="Arial" w:cs="Arial" w:eastAsia="Arial" w:hAnsi="Arial"/>
    </w:rPr>
  </w:style>
  <w:style w:type="paragraph" w:styleId="Heading6">
    <w:name w:val="heading 6"/>
    <w:basedOn w:val="Normal"/>
    <w:next w:val="Normal"/>
    <w:pPr>
      <w:tabs>
        <w:tab w:val="left" w:pos="-8987"/>
        <w:tab w:val="left" w:pos="-8420"/>
      </w:tabs>
      <w:spacing w:after="120" w:line="240" w:lineRule="auto"/>
      <w:ind w:left="3600" w:hanging="36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link w:val="Heading2Char"/>
    <w:uiPriority w:val="9"/>
    <w:unhideWhenUsed w:val="1"/>
    <w:qFormat w:val="1"/>
    <w:rsid w:val="006126A6"/>
    <w:pPr>
      <w:keepNext w:val="1"/>
      <w:keepLines w:val="1"/>
      <w:spacing w:after="0" w:before="4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link w:val="Heading5Char"/>
    <w:uiPriority w:val="9"/>
    <w:semiHidden w:val="1"/>
    <w:unhideWhenUsed w:val="1"/>
    <w:qFormat w:val="1"/>
    <w:pPr>
      <w:numPr>
        <w:ilvl w:val="4"/>
        <w:numId w:val="2"/>
      </w:numPr>
      <w:tabs>
        <w:tab w:val="left" w:pos="-5585"/>
      </w:tabs>
      <w:overflowPunct w:val="0"/>
      <w:autoSpaceDE w:val="0"/>
      <w:autoSpaceDN w:val="0"/>
      <w:spacing w:after="120" w:line="240" w:lineRule="auto"/>
      <w:jc w:val="both"/>
      <w:textAlignment w:val="baseline"/>
      <w:outlineLvl w:val="4"/>
    </w:pPr>
    <w:rPr>
      <w:rFonts w:ascii="Arial" w:cs="Times New Roman" w:eastAsia="Times New Roman" w:hAnsi="Arial"/>
    </w:rPr>
  </w:style>
  <w:style w:type="paragraph" w:styleId="Heading6">
    <w:name w:val="heading 6"/>
    <w:basedOn w:val="Heading5"/>
    <w:link w:val="Heading6Char"/>
    <w:uiPriority w:val="9"/>
    <w:semiHidden w:val="1"/>
    <w:unhideWhenUsed w:val="1"/>
    <w:qFormat w:val="1"/>
    <w:pPr>
      <w:numPr>
        <w:ilvl w:val="5"/>
      </w:numPr>
      <w:tabs>
        <w:tab w:val="clear" w:pos="-5585"/>
        <w:tab w:val="left" w:pos="-8987"/>
        <w:tab w:val="left" w:pos="-8420"/>
      </w:tabs>
      <w:outlineLvl w:val="5"/>
    </w:pPr>
  </w:style>
  <w:style w:type="paragraph" w:styleId="Heading7">
    <w:name w:val="heading 7"/>
    <w:basedOn w:val="Heading6"/>
    <w:link w:val="Heading7Char"/>
    <w:pPr>
      <w:numPr>
        <w:ilvl w:val="6"/>
      </w:numPr>
      <w:tabs>
        <w:tab w:val="clear" w:pos="-8987"/>
        <w:tab w:val="clear" w:pos="-8420"/>
        <w:tab w:val="left" w:pos="-10688"/>
        <w:tab w:val="left" w:pos="-9554"/>
      </w:tabs>
      <w:outlineLvl w:val="6"/>
    </w:pPr>
  </w:style>
  <w:style w:type="paragraph" w:styleId="Heading8">
    <w:name w:val="heading 8"/>
    <w:basedOn w:val="Heading7"/>
    <w:link w:val="Heading8Char"/>
    <w:pPr>
      <w:numPr>
        <w:ilvl w:val="7"/>
      </w:numPr>
      <w:tabs>
        <w:tab w:val="clear" w:pos="-9554"/>
        <w:tab w:val="left" w:pos="-12360"/>
        <w:tab w:val="left" w:pos="-9383"/>
      </w:tabs>
      <w:outlineLvl w:val="7"/>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adjustRightInd w:val="0"/>
      <w:spacing w:after="120" w:before="120" w:line="240" w:lineRule="auto"/>
      <w:ind w:left="1134" w:hanging="567"/>
      <w:jc w:val="both"/>
    </w:pPr>
    <w:rPr>
      <w:rFonts w:cs="Arial"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ind w:left="1985" w:hanging="851"/>
    </w:pPr>
  </w:style>
  <w:style w:type="paragraph" w:styleId="GPSL4numberedclause" w:customStyle="1">
    <w:name w:val="GPS L4 numbered clause"/>
    <w:basedOn w:val="GPSL3numberedclause"/>
    <w:link w:val="GPSL4numberedclauseChar"/>
    <w:qFormat w:val="1"/>
    <w:pPr>
      <w:numPr>
        <w:ilvl w:val="3"/>
      </w:numPr>
      <w:tabs>
        <w:tab w:val="clear" w:pos="2127"/>
        <w:tab w:val="num" w:pos="360"/>
      </w:tabs>
      <w:ind w:left="2835" w:hanging="708"/>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L1SCHEDULEHeading" w:customStyle="1">
    <w:name w:val="GPS L1 SCHEDULE Heading"/>
    <w:basedOn w:val="GPSL1CLAUSEHEADING"/>
    <w:link w:val="GPSL1SCHEDULEHeadingChar"/>
    <w:qFormat w:val="1"/>
    <w:pPr>
      <w:tabs>
        <w:tab w:val="clear" w:pos="0"/>
        <w:tab w:val="left" w:pos="567"/>
      </w:tabs>
      <w:spacing w:before="120"/>
      <w:ind w:left="567" w:hanging="567"/>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Heading5Char" w:customStyle="1">
    <w:name w:val="Heading 5 Char"/>
    <w:basedOn w:val="DefaultParagraphFont"/>
    <w:link w:val="Heading5"/>
    <w:rPr>
      <w:rFonts w:ascii="Arial" w:cs="Times New Roman" w:eastAsia="Times New Roman" w:hAnsi="Arial"/>
    </w:rPr>
  </w:style>
  <w:style w:type="character" w:styleId="Heading6Char" w:customStyle="1">
    <w:name w:val="Heading 6 Char"/>
    <w:basedOn w:val="DefaultParagraphFont"/>
    <w:link w:val="Heading6"/>
    <w:rPr>
      <w:rFonts w:ascii="Arial" w:cs="Times New Roman" w:eastAsia="Times New Roman" w:hAnsi="Arial"/>
    </w:rPr>
  </w:style>
  <w:style w:type="character" w:styleId="Heading7Char" w:customStyle="1">
    <w:name w:val="Heading 7 Char"/>
    <w:basedOn w:val="DefaultParagraphFont"/>
    <w:link w:val="Heading7"/>
    <w:rPr>
      <w:rFonts w:ascii="Arial" w:cs="Times New Roman" w:eastAsia="Times New Roman" w:hAnsi="Arial"/>
    </w:rPr>
  </w:style>
  <w:style w:type="character" w:styleId="Heading8Char" w:customStyle="1">
    <w:name w:val="Heading 8 Char"/>
    <w:basedOn w:val="DefaultParagraphFont"/>
    <w:link w:val="Heading8"/>
    <w:rPr>
      <w:rFonts w:ascii="Arial" w:cs="Times New Roman" w:eastAsia="Times New Roman" w:hAnsi="Arial"/>
    </w:rPr>
  </w:style>
  <w:style w:type="numbering" w:styleId="WWOutlineListStyle8" w:customStyle="1">
    <w:name w:val="WW_OutlineListStyle_8"/>
    <w:basedOn w:val="NoList"/>
  </w:style>
  <w:style w:type="paragraph" w:styleId="ListParagraph">
    <w:name w:val="List Paragraph"/>
    <w:basedOn w:val="Normal"/>
    <w:pPr>
      <w:suppressAutoHyphens w:val="1"/>
      <w:autoSpaceDN w:val="0"/>
      <w:ind w:left="720"/>
      <w:textAlignment w:val="baseline"/>
    </w:pPr>
    <w:rPr>
      <w:rFonts w:cs="Times New Roman"/>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pPr>
      <w:suppressAutoHyphens w:val="1"/>
      <w:autoSpaceDN w:val="0"/>
      <w:spacing w:line="240" w:lineRule="auto"/>
      <w:textAlignment w:val="baseline"/>
    </w:pPr>
    <w:rPr>
      <w:rFonts w:cs="Times New Roman"/>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MarginText" w:customStyle="1">
    <w:name w:val="Margin Text"/>
    <w:basedOn w:val="Normal"/>
    <w:link w:val="MarginTextChar"/>
    <w:pPr>
      <w:keepNext w:val="1"/>
      <w:adjustRightInd w:val="0"/>
      <w:spacing w:after="120" w:before="240" w:line="240" w:lineRule="auto"/>
      <w:ind w:left="142"/>
      <w:jc w:val="both"/>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2NumberedBoldHeading" w:customStyle="1">
    <w:name w:val="GPS L2 Numbered Bold Heading"/>
    <w:basedOn w:val="Normal"/>
    <w:link w:val="GPSL2NumberedBoldHeadingChar"/>
    <w:qFormat w:val="1"/>
    <w:pPr>
      <w:tabs>
        <w:tab w:val="left" w:pos="1134"/>
      </w:tabs>
      <w:adjustRightInd w:val="0"/>
      <w:spacing w:after="120" w:before="120" w:line="240" w:lineRule="auto"/>
      <w:ind w:left="644" w:hanging="218"/>
      <w:jc w:val="both"/>
    </w:pPr>
    <w:rPr>
      <w:rFonts w:cs="Arial" w:eastAsia="Times New Roman"/>
      <w:b w:val="1"/>
      <w:lang w:eastAsia="zh-CN"/>
    </w:rPr>
  </w:style>
  <w:style w:type="paragraph" w:styleId="GPSL2Guidance" w:customStyle="1">
    <w:name w:val="GPS L2 Guidance"/>
    <w:basedOn w:val="Normal"/>
    <w:link w:val="GPSL2GuidanceChar"/>
    <w:qFormat w:val="1"/>
    <w:pPr>
      <w:tabs>
        <w:tab w:val="left" w:pos="1134"/>
      </w:tabs>
      <w:adjustRightInd w:val="0"/>
      <w:spacing w:after="120" w:before="120" w:line="240" w:lineRule="auto"/>
      <w:ind w:left="1134"/>
      <w:jc w:val="both"/>
    </w:pPr>
    <w:rPr>
      <w:rFonts w:cs="Arial" w:eastAsia="Times New Roman"/>
      <w:b w:val="1"/>
      <w:i w:val="1"/>
      <w:lang w:eastAsia="zh-CN"/>
    </w:rPr>
  </w:style>
  <w:style w:type="paragraph" w:styleId="GPSSchPart" w:customStyle="1">
    <w:name w:val="GPS Sch Part"/>
    <w:basedOn w:val="Normal"/>
    <w:link w:val="GPSSchPartChar"/>
    <w:qFormat w:val="1"/>
    <w:pPr>
      <w:keepNext w:val="1"/>
      <w:adjustRightInd w:val="0"/>
      <w:spacing w:after="240" w:before="240" w:line="240" w:lineRule="auto"/>
      <w:ind w:firstLine="426"/>
      <w:jc w:val="center"/>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2GuidanceChar" w:customStyle="1">
    <w:name w:val="GPS L2 Guidance Char"/>
    <w:link w:val="GPSL2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GPSL4numberedclauseChar" w:customStyle="1">
    <w:name w:val="GPS L4 numbered clause Char"/>
    <w:link w:val="GPSL4numberedclause"/>
    <w:locked w:val="1"/>
    <w:rPr>
      <w:rFonts w:ascii="Calibri" w:cs="Arial" w:eastAsia="Times New Roman" w:hAnsi="Calibri"/>
      <w:szCs w:val="20"/>
      <w:lang w:eastAsia="zh-CN"/>
    </w:rPr>
  </w:style>
  <w:style w:type="character" w:styleId="GPSL5numberedclauseChar" w:customStyle="1">
    <w:name w:val="GPS L5 numbered clause Char"/>
    <w:link w:val="GPSL5numberedclause"/>
    <w:locked w:val="1"/>
    <w:rPr>
      <w:rFonts w:ascii="Calibri" w:cs="Arial" w:eastAsia="Times New Roman" w:hAnsi="Calibri"/>
      <w:szCs w:val="20"/>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cs="Arial" w:eastAsia="Times New Roman"/>
      <w:b w:val="1"/>
      <w:i w:val="1"/>
    </w:rPr>
  </w:style>
  <w:style w:type="paragraph" w:styleId="GPSL3Guidance" w:customStyle="1">
    <w:name w:val="GPS L3 Guidance"/>
    <w:basedOn w:val="GPSL3numberedclause"/>
    <w:link w:val="GPSL3GuidanceChar"/>
    <w:qFormat w:val="1"/>
    <w:pPr>
      <w:numPr>
        <w:ilvl w:val="0"/>
        <w:numId w:val="0"/>
      </w:numPr>
      <w:tabs>
        <w:tab w:val="clear" w:pos="2127"/>
      </w:tabs>
      <w:ind w:left="1985"/>
    </w:pPr>
    <w:rPr>
      <w:b w:val="1"/>
      <w:i w:val="1"/>
    </w:rPr>
  </w:style>
  <w:style w:type="paragraph" w:styleId="GPSL4Guidance" w:customStyle="1">
    <w:name w:val="GPS L4 Guidance"/>
    <w:basedOn w:val="GPSL3Guidance"/>
    <w:link w:val="GPSL4GuidanceChar"/>
    <w:qFormat w:val="1"/>
  </w:style>
  <w:style w:type="character" w:styleId="GPSL4GuidanceChar" w:customStyle="1">
    <w:name w:val="GPS L4 Guidance Char"/>
    <w:link w:val="GPSL4Guidance"/>
    <w:locked w:val="1"/>
    <w:rPr>
      <w:rFonts w:ascii="Calibri" w:cs="Arial" w:eastAsia="Times New Roman" w:hAnsi="Calibri"/>
      <w:b w:val="1"/>
      <w:i w:val="1"/>
      <w:lang w:eastAsia="zh-CN"/>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CommentSubject">
    <w:name w:val="annotation subject"/>
    <w:basedOn w:val="CommentText"/>
    <w:next w:val="CommentText"/>
    <w:link w:val="CommentSubjectChar"/>
    <w:uiPriority w:val="99"/>
    <w:semiHidden w:val="1"/>
    <w:unhideWhenUsed w:val="1"/>
    <w:pPr>
      <w:suppressAutoHyphens w:val="0"/>
      <w:autoSpaceDN w:val="1"/>
      <w:textAlignment w:val="auto"/>
    </w:pPr>
    <w:rPr>
      <w:rFonts w:asciiTheme="minorHAnsi" w:cstheme="minorBidi" w:eastAsiaTheme="minorHAnsi" w:hAnsiTheme="minorHAnsi"/>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Revision">
    <w:name w:val="Revision"/>
    <w:hidden w:val="1"/>
    <w:uiPriority w:val="99"/>
    <w:semiHidden w:val="1"/>
    <w:pPr>
      <w:spacing w:after="0" w:line="240" w:lineRule="auto"/>
    </w:p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sz w:val="20"/>
      <w:szCs w:val="20"/>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2Char" w:customStyle="1">
    <w:name w:val="Heading 2 Char"/>
    <w:basedOn w:val="DefaultParagraphFont"/>
    <w:link w:val="Heading2"/>
    <w:uiPriority w:val="9"/>
    <w:rsid w:val="006126A6"/>
    <w:rPr>
      <w:rFonts w:asciiTheme="majorHAnsi" w:cstheme="majorBidi" w:eastAsiaTheme="majorEastAsia" w:hAnsiTheme="majorHAnsi"/>
      <w:color w:val="365f91" w:themeColor="accent1" w:themeShade="0000BF"/>
      <w:sz w:val="26"/>
      <w:szCs w:val="26"/>
    </w:rPr>
  </w:style>
  <w:style w:type="table" w:styleId="4" w:customStyle="1">
    <w:name w:val="4"/>
    <w:basedOn w:val="TableNormal"/>
    <w:rsid w:val="006126A6"/>
    <w:pPr>
      <w:pBdr>
        <w:top w:space="0" w:sz="0" w:val="nil"/>
        <w:left w:space="0" w:sz="0" w:val="nil"/>
        <w:bottom w:space="0" w:sz="0" w:val="nil"/>
        <w:right w:space="0" w:sz="0" w:val="nil"/>
        <w:between w:space="0" w:sz="0" w:val="nil"/>
      </w:pBdr>
      <w:spacing w:after="0" w:line="240" w:lineRule="auto"/>
      <w:ind w:left="-30"/>
    </w:pPr>
    <w:rPr>
      <w:rFonts w:ascii="Arial" w:cs="Arial" w:eastAsia="Arial" w:hAnsi="Arial"/>
      <w:color w:val="000000"/>
      <w:sz w:val="24"/>
      <w:szCs w:val="24"/>
    </w:rPr>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unhideWhenUsed w:val="1"/>
    <w:rsid w:val="007411C8"/>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Hyperlink">
    <w:name w:val="Hyperlink"/>
    <w:basedOn w:val="DefaultParagraphFont"/>
    <w:uiPriority w:val="99"/>
    <w:unhideWhenUsed w:val="1"/>
    <w:rsid w:val="003370F7"/>
    <w:rPr>
      <w:color w:val="0000ff" w:themeColor="hyperlink"/>
      <w:u w:val="single"/>
    </w:rPr>
  </w:style>
  <w:style w:type="character" w:styleId="UnresolvedMention1" w:customStyle="1">
    <w:name w:val="Unresolved Mention1"/>
    <w:basedOn w:val="DefaultParagraphFont"/>
    <w:uiPriority w:val="99"/>
    <w:semiHidden w:val="1"/>
    <w:unhideWhenUsed w:val="1"/>
    <w:rsid w:val="003370F7"/>
    <w:rPr>
      <w:color w:val="605e5c"/>
      <w:shd w:color="auto" w:fill="e1dfdd" w:val="clear"/>
    </w:rPr>
  </w:style>
  <w:style w:type="character" w:styleId="FollowedHyperlink">
    <w:name w:val="FollowedHyperlink"/>
    <w:basedOn w:val="DefaultParagraphFont"/>
    <w:uiPriority w:val="99"/>
    <w:semiHidden w:val="1"/>
    <w:unhideWhenUsed w:val="1"/>
    <w:rsid w:val="003370F7"/>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ssets.publishing.service.gov.uk/government/uploads/system/uploads/attachment_data/file/693158/25-year-environment-plan.pdf"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gcpz699UJLHo1akW1ZZs8R3JOg==">AMUW2mXfaEw2d3YeZMv88TLDCIPCvGbvYVYgD3hWDRWR4cvcbu73AKlllIqFSWgZq4bUQO1m7ezQy2km5Q6yLt9qz9dNhsjNVGIwnXF/2i7kOaTHD177a0tZcIYW2eOJv1rkyvYmOozK0dK96hpRcSQWiQlJdEh1MyeULdlOOuixgYk5cL0ZvXs=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2021-03-04T10:54:00Z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13 September 2017 D1V2</vt:lpwstr>
  </property>
</Properties>
</file>